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附件</w:t>
      </w:r>
      <w:r>
        <w:rPr>
          <w:rFonts w:ascii="Times New Roman" w:hAnsi="Times New Roman" w:eastAsia="黑体" w:cs="Times New Roman"/>
          <w:kern w:val="0"/>
          <w:sz w:val="32"/>
          <w:szCs w:val="32"/>
        </w:rPr>
        <w:t>2</w:t>
      </w:r>
    </w:p>
    <w:p>
      <w:pPr>
        <w:wordWrap w:val="0"/>
        <w:snapToGrid w:val="0"/>
        <w:spacing w:line="360" w:lineRule="exact"/>
        <w:jc w:val="right"/>
        <w:rPr>
          <w:rFonts w:ascii="方正小标宋简体" w:hAnsi="方正小标宋简体" w:eastAsia="方正小标宋简体" w:cs="方正小标宋简体"/>
          <w:bCs/>
          <w:sz w:val="44"/>
          <w:szCs w:val="44"/>
        </w:rPr>
      </w:pPr>
      <w:r>
        <w:rPr>
          <w:rFonts w:hint="eastAsia" w:ascii="Calibri" w:hAnsi="Calibri" w:eastAsia="宋体" w:cs="Times New Roman"/>
          <w:sz w:val="24"/>
        </w:rPr>
        <w:t>编号：</w:t>
      </w:r>
      <w:r>
        <w:rPr>
          <w:rFonts w:ascii="Calibri" w:hAnsi="Calibri" w:eastAsia="宋体" w:cs="Times New Roman"/>
          <w:sz w:val="24"/>
          <w:u w:val="single"/>
        </w:rPr>
        <w:t xml:space="preserve">                  </w:t>
      </w:r>
      <w:r>
        <w:rPr>
          <w:rFonts w:hint="eastAsia" w:ascii="方正小标宋简体" w:hAnsi="方正小标宋简体" w:eastAsia="方正小标宋简体" w:cs="方正小标宋简体"/>
          <w:bCs/>
          <w:sz w:val="44"/>
          <w:szCs w:val="44"/>
        </w:rPr>
        <w:t xml:space="preserve">  </w:t>
      </w:r>
    </w:p>
    <w:p>
      <w:pPr>
        <w:spacing w:before="156" w:after="156" w:line="560" w:lineRule="exact"/>
        <w:jc w:val="center"/>
        <w:textAlignment w:val="baseline"/>
        <w:rPr>
          <w:rFonts w:hint="eastAsia" w:ascii="黑体" w:hAnsi="黑体" w:eastAsia="黑体" w:cs="黑体"/>
          <w:bCs/>
          <w:kern w:val="0"/>
          <w:sz w:val="24"/>
          <w:szCs w:val="24"/>
        </w:rPr>
      </w:pPr>
      <w:bookmarkStart w:id="0" w:name="_GoBack"/>
      <w:r>
        <w:rPr>
          <w:rFonts w:hint="eastAsia" w:ascii="方正小标宋简体" w:hAnsi="方正小标宋简体" w:eastAsia="方正小标宋简体" w:cs="方正小标宋简体"/>
          <w:bCs/>
          <w:sz w:val="44"/>
          <w:szCs w:val="44"/>
        </w:rPr>
        <w:t>房屋租赁合同（模板）</w:t>
      </w:r>
      <w:bookmarkEnd w:id="0"/>
    </w:p>
    <w:p>
      <w:pPr>
        <w:snapToGrid w:val="0"/>
        <w:spacing w:line="480" w:lineRule="exact"/>
        <w:rPr>
          <w:rFonts w:hint="eastAsia" w:ascii="Times New Roman" w:hAnsi="Times New Roman" w:eastAsia="宋体" w:cs="Times New Roman"/>
          <w:bCs/>
          <w:sz w:val="28"/>
          <w:szCs w:val="28"/>
        </w:rPr>
      </w:pPr>
      <w:r>
        <w:rPr>
          <w:rFonts w:hint="eastAsia" w:ascii="Times New Roman" w:hAnsi="Times New Roman" w:eastAsia="宋体" w:cs="Times New Roman"/>
          <w:b/>
          <w:sz w:val="28"/>
          <w:szCs w:val="28"/>
        </w:rPr>
        <w:t>出租方：</w:t>
      </w:r>
      <w:r>
        <w:rPr>
          <w:rFonts w:ascii="Times New Roman" w:hAnsi="Times New Roman" w:eastAsia="宋体" w:cs="Times New Roman"/>
          <w:bCs/>
          <w:sz w:val="28"/>
          <w:szCs w:val="28"/>
          <w:u w:val="single"/>
        </w:rPr>
        <w:t xml:space="preserve">  </w:t>
      </w:r>
      <w:r>
        <w:rPr>
          <w:rFonts w:hint="eastAsia" w:ascii="Times New Roman" w:hAnsi="Times New Roman" w:eastAsia="宋体" w:cs="Times New Roman"/>
          <w:bCs/>
          <w:sz w:val="28"/>
          <w:szCs w:val="28"/>
          <w:u w:val="single"/>
        </w:rPr>
        <w:t>江苏沿海地区农业科学研究所</w:t>
      </w:r>
      <w:r>
        <w:rPr>
          <w:rFonts w:ascii="Times New Roman" w:hAnsi="Times New Roman" w:eastAsia="宋体" w:cs="Times New Roman"/>
          <w:bCs/>
          <w:sz w:val="28"/>
          <w:szCs w:val="28"/>
          <w:u w:val="single"/>
        </w:rPr>
        <w:t xml:space="preserve">         </w:t>
      </w:r>
      <w:r>
        <w:rPr>
          <w:rFonts w:hint="eastAsia" w:ascii="Times New Roman" w:hAnsi="Times New Roman" w:eastAsia="宋体" w:cs="Times New Roman"/>
          <w:bCs/>
          <w:sz w:val="28"/>
          <w:szCs w:val="28"/>
        </w:rPr>
        <w:t>（以下简称甲方）；</w:t>
      </w:r>
    </w:p>
    <w:p>
      <w:pPr>
        <w:snapToGrid w:val="0"/>
        <w:spacing w:line="480" w:lineRule="exact"/>
        <w:rPr>
          <w:rFonts w:ascii="Times New Roman" w:hAnsi="Times New Roman" w:eastAsia="宋体" w:cs="Times New Roman"/>
          <w:bCs/>
          <w:sz w:val="28"/>
          <w:szCs w:val="28"/>
        </w:rPr>
      </w:pPr>
      <w:r>
        <w:rPr>
          <w:rFonts w:hint="eastAsia" w:ascii="Times New Roman" w:hAnsi="Times New Roman" w:eastAsia="宋体" w:cs="Times New Roman"/>
          <w:bCs/>
          <w:sz w:val="28"/>
          <w:szCs w:val="28"/>
        </w:rPr>
        <w:t>（信用代码：</w:t>
      </w:r>
      <w:r>
        <w:rPr>
          <w:rFonts w:ascii="Times New Roman" w:hAnsi="Times New Roman" w:eastAsia="宋体" w:cs="Times New Roman"/>
          <w:bCs/>
          <w:sz w:val="28"/>
          <w:szCs w:val="28"/>
          <w:u w:val="single"/>
        </w:rPr>
        <w:t xml:space="preserve">                                          </w:t>
      </w:r>
      <w:r>
        <w:rPr>
          <w:rFonts w:hint="eastAsia" w:ascii="Times New Roman" w:hAnsi="Times New Roman" w:eastAsia="宋体" w:cs="Times New Roman"/>
          <w:bCs/>
          <w:sz w:val="28"/>
          <w:szCs w:val="28"/>
        </w:rPr>
        <w:t>）</w:t>
      </w:r>
    </w:p>
    <w:p>
      <w:pPr>
        <w:snapToGrid w:val="0"/>
        <w:spacing w:line="480" w:lineRule="exact"/>
        <w:rPr>
          <w:rFonts w:ascii="Times New Roman" w:hAnsi="Times New Roman" w:eastAsia="宋体" w:cs="Times New Roman"/>
          <w:bCs/>
          <w:sz w:val="28"/>
          <w:szCs w:val="28"/>
        </w:rPr>
      </w:pPr>
      <w:r>
        <w:rPr>
          <w:rFonts w:hint="eastAsia" w:ascii="Times New Roman" w:hAnsi="Times New Roman" w:eastAsia="宋体" w:cs="Times New Roman"/>
          <w:b/>
          <w:sz w:val="28"/>
          <w:szCs w:val="28"/>
        </w:rPr>
        <w:t>承租方：</w:t>
      </w:r>
      <w:r>
        <w:rPr>
          <w:rFonts w:ascii="Times New Roman" w:hAnsi="Times New Roman" w:eastAsia="宋体" w:cs="Times New Roman"/>
          <w:bCs/>
          <w:sz w:val="28"/>
          <w:szCs w:val="28"/>
          <w:u w:val="single"/>
        </w:rPr>
        <w:t xml:space="preserve">                                      </w:t>
      </w:r>
      <w:r>
        <w:rPr>
          <w:rFonts w:hint="eastAsia" w:ascii="Times New Roman" w:hAnsi="Times New Roman" w:eastAsia="宋体" w:cs="Times New Roman"/>
          <w:bCs/>
          <w:sz w:val="28"/>
          <w:szCs w:val="28"/>
        </w:rPr>
        <w:t>（以下简称乙方）</w:t>
      </w:r>
    </w:p>
    <w:p>
      <w:pPr>
        <w:snapToGrid w:val="0"/>
        <w:spacing w:line="480" w:lineRule="exact"/>
        <w:rPr>
          <w:rFonts w:ascii="宋体" w:hAnsi="宋体" w:eastAsia="宋体" w:cs="宋体"/>
          <w:bCs/>
          <w:kern w:val="0"/>
          <w:sz w:val="24"/>
        </w:rPr>
      </w:pPr>
      <w:r>
        <w:rPr>
          <w:rFonts w:hint="eastAsia" w:ascii="Times New Roman" w:hAnsi="Times New Roman" w:eastAsia="宋体" w:cs="Times New Roman"/>
          <w:bCs/>
          <w:sz w:val="28"/>
          <w:szCs w:val="28"/>
        </w:rPr>
        <w:t>（信用代码或承租人身份证号：</w:t>
      </w:r>
      <w:r>
        <w:rPr>
          <w:rFonts w:ascii="Times New Roman" w:hAnsi="Times New Roman" w:eastAsia="宋体" w:cs="Times New Roman"/>
          <w:bCs/>
          <w:sz w:val="28"/>
          <w:szCs w:val="28"/>
          <w:u w:val="single"/>
        </w:rPr>
        <w:t xml:space="preserve">                           </w:t>
      </w:r>
      <w:r>
        <w:rPr>
          <w:rFonts w:hint="eastAsia" w:ascii="Times New Roman" w:hAnsi="Times New Roman" w:eastAsia="宋体" w:cs="Times New Roman"/>
          <w:bCs/>
          <w:sz w:val="28"/>
          <w:szCs w:val="28"/>
        </w:rPr>
        <w:t>）</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经甲乙双方平等协商一致，就乙方租用甲方房屋相关事项签订合同如下:</w:t>
      </w:r>
    </w:p>
    <w:p>
      <w:pPr>
        <w:shd w:val="clear" w:color="auto" w:fill="FFFFFF"/>
        <w:snapToGrid w:val="0"/>
        <w:spacing w:line="360" w:lineRule="exact"/>
        <w:ind w:firstLine="480" w:firstLineChars="200"/>
        <w:rPr>
          <w:rFonts w:hint="eastAsia" w:ascii="黑体" w:hAnsi="黑体" w:eastAsia="黑体" w:cs="宋体"/>
          <w:kern w:val="0"/>
          <w:sz w:val="24"/>
        </w:rPr>
      </w:pPr>
      <w:r>
        <w:rPr>
          <w:rFonts w:hint="eastAsia" w:ascii="黑体" w:hAnsi="黑体" w:eastAsia="黑体" w:cs="宋体"/>
          <w:kern w:val="0"/>
          <w:sz w:val="24"/>
        </w:rPr>
        <w:t>一、租期费用条款</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1、甲方将位于</w:t>
      </w:r>
      <w:r>
        <w:rPr>
          <w:rFonts w:hint="eastAsia" w:ascii="宋体" w:hAnsi="宋体" w:eastAsia="宋体" w:cs="宋体"/>
          <w:kern w:val="0"/>
          <w:sz w:val="24"/>
          <w:u w:val="single"/>
        </w:rPr>
        <w:t xml:space="preserve">                                  </w:t>
      </w:r>
      <w:r>
        <w:rPr>
          <w:rFonts w:hint="eastAsia" w:ascii="宋体" w:hAnsi="宋体" w:eastAsia="宋体" w:cs="宋体"/>
          <w:kern w:val="0"/>
          <w:sz w:val="24"/>
        </w:rPr>
        <w:t>处房屋（内部编号：</w:t>
      </w:r>
      <w:r>
        <w:rPr>
          <w:rFonts w:hint="eastAsia" w:ascii="宋体" w:hAnsi="宋体" w:eastAsia="宋体" w:cs="宋体"/>
          <w:kern w:val="0"/>
          <w:sz w:val="24"/>
          <w:u w:val="single"/>
        </w:rPr>
        <w:t xml:space="preserve">               </w:t>
      </w:r>
      <w:r>
        <w:rPr>
          <w:rFonts w:hint="eastAsia" w:ascii="宋体" w:hAnsi="宋体" w:eastAsia="宋体" w:cs="宋体"/>
          <w:kern w:val="0"/>
          <w:sz w:val="24"/>
        </w:rPr>
        <w:t>）及内设物件（详细清单见附件）出租给乙方使用,合同签订后,甲方按规定在收到乙方租金和保证金后三日内交房。</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2、合同期限为</w:t>
      </w:r>
      <w:r>
        <w:rPr>
          <w:rFonts w:hint="eastAsia" w:ascii="宋体" w:hAnsi="宋体" w:eastAsia="宋体" w:cs="宋体"/>
          <w:kern w:val="0"/>
          <w:sz w:val="24"/>
          <w:u w:val="single"/>
        </w:rPr>
        <w:t xml:space="preserve">     </w:t>
      </w:r>
      <w:r>
        <w:rPr>
          <w:rFonts w:hint="eastAsia" w:ascii="宋体" w:hAnsi="宋体" w:eastAsia="宋体" w:cs="宋体"/>
          <w:kern w:val="0"/>
          <w:sz w:val="24"/>
        </w:rPr>
        <w:t>年，从</w:t>
      </w:r>
      <w:r>
        <w:rPr>
          <w:rFonts w:hint="eastAsia" w:ascii="宋体" w:hAnsi="宋体" w:eastAsia="宋体" w:cs="宋体"/>
          <w:kern w:val="0"/>
          <w:sz w:val="24"/>
          <w:u w:val="single"/>
        </w:rPr>
        <w:t xml:space="preserve">      </w:t>
      </w:r>
      <w:r>
        <w:rPr>
          <w:rFonts w:hint="eastAsia" w:ascii="宋体" w:hAnsi="宋体" w:eastAsia="宋体" w:cs="宋体"/>
          <w:kern w:val="0"/>
          <w:sz w:val="24"/>
        </w:rPr>
        <w:t>年</w:t>
      </w:r>
      <w:r>
        <w:rPr>
          <w:rFonts w:hint="eastAsia" w:ascii="宋体" w:hAnsi="宋体" w:eastAsia="宋体" w:cs="宋体"/>
          <w:kern w:val="0"/>
          <w:sz w:val="24"/>
          <w:u w:val="single"/>
        </w:rPr>
        <w:t xml:space="preserve">  </w:t>
      </w:r>
      <w:r>
        <w:rPr>
          <w:rFonts w:hint="eastAsia" w:ascii="宋体" w:hAnsi="宋体" w:eastAsia="宋体" w:cs="宋体"/>
          <w:kern w:val="0"/>
          <w:sz w:val="24"/>
        </w:rPr>
        <w:t>月</w:t>
      </w:r>
      <w:r>
        <w:rPr>
          <w:rFonts w:hint="eastAsia" w:ascii="宋体" w:hAnsi="宋体" w:eastAsia="宋体" w:cs="宋体"/>
          <w:kern w:val="0"/>
          <w:sz w:val="24"/>
          <w:u w:val="single"/>
        </w:rPr>
        <w:t xml:space="preserve">  </w:t>
      </w:r>
      <w:r>
        <w:rPr>
          <w:rFonts w:hint="eastAsia" w:ascii="宋体" w:hAnsi="宋体" w:eastAsia="宋体" w:cs="宋体"/>
          <w:kern w:val="0"/>
          <w:sz w:val="24"/>
        </w:rPr>
        <w:t>日至</w:t>
      </w:r>
      <w:r>
        <w:rPr>
          <w:rFonts w:hint="eastAsia" w:ascii="宋体" w:hAnsi="宋体" w:eastAsia="宋体" w:cs="宋体"/>
          <w:kern w:val="0"/>
          <w:sz w:val="24"/>
          <w:u w:val="single"/>
        </w:rPr>
        <w:t xml:space="preserve">     </w:t>
      </w:r>
      <w:r>
        <w:rPr>
          <w:rFonts w:hint="eastAsia" w:ascii="宋体" w:hAnsi="宋体" w:eastAsia="宋体" w:cs="宋体"/>
          <w:kern w:val="0"/>
          <w:sz w:val="24"/>
        </w:rPr>
        <w:t>年</w:t>
      </w:r>
      <w:r>
        <w:rPr>
          <w:rFonts w:hint="eastAsia" w:ascii="宋体" w:hAnsi="宋体" w:eastAsia="宋体" w:cs="宋体"/>
          <w:kern w:val="0"/>
          <w:sz w:val="24"/>
          <w:u w:val="single"/>
        </w:rPr>
        <w:t xml:space="preserve">  </w:t>
      </w:r>
      <w:r>
        <w:rPr>
          <w:rFonts w:hint="eastAsia" w:ascii="宋体" w:hAnsi="宋体" w:eastAsia="宋体" w:cs="宋体"/>
          <w:kern w:val="0"/>
          <w:sz w:val="24"/>
        </w:rPr>
        <w:t>月</w:t>
      </w:r>
      <w:r>
        <w:rPr>
          <w:rFonts w:hint="eastAsia" w:ascii="宋体" w:hAnsi="宋体" w:eastAsia="宋体" w:cs="宋体"/>
          <w:kern w:val="0"/>
          <w:sz w:val="24"/>
          <w:u w:val="single"/>
        </w:rPr>
        <w:t xml:space="preserve"> </w:t>
      </w:r>
      <w:r>
        <w:rPr>
          <w:rFonts w:hint="eastAsia" w:ascii="宋体" w:hAnsi="宋体" w:eastAsia="宋体" w:cs="宋体"/>
          <w:kern w:val="0"/>
          <w:sz w:val="24"/>
        </w:rPr>
        <w:t>日止。合约期满，乙方如需续租，需提前一个月提出，同等条件下，甲方应优先租给乙方，并根据市场行情变化等情况重新签订新合同。乙方如想提前终止合同，应提前一个月通知甲方，经甲方同意后，合同中止前十五日内结清所有费用并做好资产移交后离场。乙方在合同到期后，因特殊情况不能及时搬迁交房，可提前向甲方提出申请延期搬迁，甲方根据情况可同意延期交房时间，但最长不得超过三个月，延期时段按月按合同租金标准的200%收取延期占用费。</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3、合同期内，乙方按</w:t>
      </w:r>
      <w:r>
        <w:rPr>
          <w:rFonts w:hint="eastAsia" w:ascii="宋体" w:hAnsi="宋体" w:eastAsia="宋体" w:cs="宋体"/>
          <w:kern w:val="0"/>
          <w:sz w:val="24"/>
          <w:u w:val="single"/>
        </w:rPr>
        <w:t xml:space="preserve">    支</w:t>
      </w:r>
      <w:r>
        <w:rPr>
          <w:rFonts w:hint="eastAsia" w:ascii="宋体" w:hAnsi="宋体" w:eastAsia="宋体" w:cs="宋体"/>
          <w:kern w:val="0"/>
          <w:sz w:val="24"/>
        </w:rPr>
        <w:t>付租金人民币</w:t>
      </w:r>
      <w:r>
        <w:rPr>
          <w:rFonts w:hint="eastAsia" w:ascii="宋体" w:hAnsi="宋体" w:eastAsia="宋体" w:cs="宋体"/>
          <w:kern w:val="0"/>
          <w:sz w:val="24"/>
          <w:u w:val="single"/>
        </w:rPr>
        <w:t xml:space="preserve">          </w:t>
      </w:r>
      <w:r>
        <w:rPr>
          <w:rFonts w:hint="eastAsia" w:ascii="宋体" w:hAnsi="宋体" w:eastAsia="宋体" w:cs="宋体"/>
          <w:kern w:val="0"/>
          <w:sz w:val="24"/>
        </w:rPr>
        <w:t>万元（大写：</w:t>
      </w:r>
      <w:r>
        <w:rPr>
          <w:rFonts w:hint="eastAsia" w:ascii="宋体" w:hAnsi="宋体" w:eastAsia="宋体" w:cs="宋体"/>
          <w:kern w:val="0"/>
          <w:sz w:val="24"/>
          <w:u w:val="single"/>
        </w:rPr>
        <w:t xml:space="preserve">    </w:t>
      </w:r>
      <w:r>
        <w:rPr>
          <w:rFonts w:hint="eastAsia" w:ascii="宋体" w:hAnsi="宋体" w:eastAsia="宋体" w:cs="宋体"/>
          <w:kern w:val="0"/>
          <w:sz w:val="24"/>
        </w:rPr>
        <w:t>万</w:t>
      </w:r>
      <w:r>
        <w:rPr>
          <w:rFonts w:hint="eastAsia" w:ascii="宋体" w:hAnsi="宋体" w:eastAsia="宋体" w:cs="宋体"/>
          <w:kern w:val="0"/>
          <w:sz w:val="24"/>
          <w:u w:val="single"/>
        </w:rPr>
        <w:t xml:space="preserve">    </w:t>
      </w:r>
      <w:r>
        <w:rPr>
          <w:rFonts w:hint="eastAsia" w:ascii="宋体" w:hAnsi="宋体" w:eastAsia="宋体" w:cs="宋体"/>
          <w:kern w:val="0"/>
          <w:sz w:val="24"/>
        </w:rPr>
        <w:t>仟</w:t>
      </w:r>
      <w:r>
        <w:rPr>
          <w:rFonts w:hint="eastAsia" w:ascii="宋体" w:hAnsi="宋体" w:eastAsia="宋体" w:cs="宋体"/>
          <w:kern w:val="0"/>
          <w:sz w:val="24"/>
          <w:u w:val="single"/>
        </w:rPr>
        <w:t xml:space="preserve">    </w:t>
      </w:r>
      <w:r>
        <w:rPr>
          <w:rFonts w:hint="eastAsia" w:ascii="宋体" w:hAnsi="宋体" w:eastAsia="宋体" w:cs="宋体"/>
          <w:kern w:val="0"/>
          <w:sz w:val="24"/>
        </w:rPr>
        <w:t>佰</w:t>
      </w:r>
      <w:r>
        <w:rPr>
          <w:rFonts w:hint="eastAsia" w:ascii="宋体" w:hAnsi="宋体" w:eastAsia="宋体" w:cs="宋体"/>
          <w:kern w:val="0"/>
          <w:sz w:val="24"/>
          <w:u w:val="single"/>
        </w:rPr>
        <w:t xml:space="preserve">    </w:t>
      </w:r>
      <w:r>
        <w:rPr>
          <w:rFonts w:hint="eastAsia" w:ascii="宋体" w:hAnsi="宋体" w:eastAsia="宋体" w:cs="宋体"/>
          <w:kern w:val="0"/>
          <w:sz w:val="24"/>
        </w:rPr>
        <w:t>拾</w:t>
      </w:r>
      <w:r>
        <w:rPr>
          <w:rFonts w:hint="eastAsia" w:ascii="宋体" w:hAnsi="宋体" w:eastAsia="宋体" w:cs="宋体"/>
          <w:kern w:val="0"/>
          <w:sz w:val="24"/>
          <w:u w:val="single"/>
        </w:rPr>
        <w:t xml:space="preserve">    </w:t>
      </w:r>
      <w:r>
        <w:rPr>
          <w:rFonts w:hint="eastAsia" w:ascii="宋体" w:hAnsi="宋体" w:eastAsia="宋体" w:cs="宋体"/>
          <w:kern w:val="0"/>
          <w:sz w:val="24"/>
        </w:rPr>
        <w:t>元整）（年租金合计人民币</w:t>
      </w:r>
      <w:r>
        <w:rPr>
          <w:rFonts w:hint="eastAsia" w:ascii="宋体" w:hAnsi="宋体" w:eastAsia="宋体" w:cs="宋体"/>
          <w:kern w:val="0"/>
          <w:sz w:val="24"/>
          <w:u w:val="single"/>
        </w:rPr>
        <w:t xml:space="preserve">               </w:t>
      </w:r>
      <w:r>
        <w:rPr>
          <w:rFonts w:hint="eastAsia" w:ascii="宋体" w:hAnsi="宋体" w:eastAsia="宋体" w:cs="宋体"/>
          <w:kern w:val="0"/>
          <w:sz w:val="24"/>
        </w:rPr>
        <w:t>万元）。按照先交租金后用房的原则，乙方租金逾期不交，甲方可解除合同，按违约条款收回出租的房屋和场地。乙方在合同解除后拖延交房，按合同双倍数额从保证金中扣除租金，拖延时间如超过3个月按全年租金标准收取占用费。</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4、履约保证金</w:t>
      </w:r>
      <w:r>
        <w:rPr>
          <w:rFonts w:hint="eastAsia" w:ascii="宋体" w:hAnsi="宋体" w:eastAsia="宋体" w:cs="宋体"/>
          <w:kern w:val="0"/>
          <w:sz w:val="24"/>
          <w:u w:val="single"/>
        </w:rPr>
        <w:t xml:space="preserve">         </w:t>
      </w:r>
      <w:r>
        <w:rPr>
          <w:rFonts w:hint="eastAsia" w:ascii="宋体" w:hAnsi="宋体" w:eastAsia="宋体" w:cs="宋体"/>
          <w:kern w:val="0"/>
          <w:sz w:val="24"/>
        </w:rPr>
        <w:t>万元整（大写：</w:t>
      </w:r>
      <w:r>
        <w:rPr>
          <w:rFonts w:hint="eastAsia" w:ascii="宋体" w:hAnsi="宋体" w:eastAsia="宋体" w:cs="宋体"/>
          <w:kern w:val="0"/>
          <w:sz w:val="24"/>
          <w:u w:val="single"/>
        </w:rPr>
        <w:t xml:space="preserve">    </w:t>
      </w:r>
      <w:r>
        <w:rPr>
          <w:rFonts w:hint="eastAsia" w:ascii="宋体" w:hAnsi="宋体" w:eastAsia="宋体" w:cs="宋体"/>
          <w:kern w:val="0"/>
          <w:sz w:val="24"/>
        </w:rPr>
        <w:t>万</w:t>
      </w:r>
      <w:r>
        <w:rPr>
          <w:rFonts w:hint="eastAsia" w:ascii="宋体" w:hAnsi="宋体" w:eastAsia="宋体" w:cs="宋体"/>
          <w:kern w:val="0"/>
          <w:sz w:val="24"/>
          <w:u w:val="single"/>
        </w:rPr>
        <w:t xml:space="preserve">    </w:t>
      </w:r>
      <w:r>
        <w:rPr>
          <w:rFonts w:hint="eastAsia" w:ascii="宋体" w:hAnsi="宋体" w:eastAsia="宋体" w:cs="宋体"/>
          <w:kern w:val="0"/>
          <w:sz w:val="24"/>
        </w:rPr>
        <w:t>仟</w:t>
      </w:r>
      <w:r>
        <w:rPr>
          <w:rFonts w:hint="eastAsia" w:ascii="宋体" w:hAnsi="宋体" w:eastAsia="宋体" w:cs="宋体"/>
          <w:kern w:val="0"/>
          <w:sz w:val="24"/>
          <w:u w:val="single"/>
        </w:rPr>
        <w:t xml:space="preserve">    </w:t>
      </w:r>
      <w:r>
        <w:rPr>
          <w:rFonts w:hint="eastAsia" w:ascii="宋体" w:hAnsi="宋体" w:eastAsia="宋体" w:cs="宋体"/>
          <w:kern w:val="0"/>
          <w:sz w:val="24"/>
        </w:rPr>
        <w:t>佰</w:t>
      </w:r>
      <w:r>
        <w:rPr>
          <w:rFonts w:hint="eastAsia" w:ascii="宋体" w:hAnsi="宋体" w:eastAsia="宋体" w:cs="宋体"/>
          <w:kern w:val="0"/>
          <w:sz w:val="24"/>
          <w:u w:val="single"/>
        </w:rPr>
        <w:t xml:space="preserve">    </w:t>
      </w:r>
      <w:r>
        <w:rPr>
          <w:rFonts w:hint="eastAsia" w:ascii="宋体" w:hAnsi="宋体" w:eastAsia="宋体" w:cs="宋体"/>
          <w:kern w:val="0"/>
          <w:sz w:val="24"/>
        </w:rPr>
        <w:t>拾</w:t>
      </w:r>
      <w:r>
        <w:rPr>
          <w:rFonts w:hint="eastAsia" w:ascii="宋体" w:hAnsi="宋体" w:eastAsia="宋体" w:cs="宋体"/>
          <w:kern w:val="0"/>
          <w:sz w:val="24"/>
          <w:u w:val="single"/>
        </w:rPr>
        <w:t xml:space="preserve">    </w:t>
      </w:r>
      <w:r>
        <w:rPr>
          <w:rFonts w:hint="eastAsia" w:ascii="宋体" w:hAnsi="宋体" w:eastAsia="宋体" w:cs="宋体"/>
          <w:kern w:val="0"/>
          <w:sz w:val="24"/>
        </w:rPr>
        <w:t>元整），首次交费时一起交付甲方，待合同终止，无违约情况，由甲方返还本金（不计息）给乙方；如乙方有违约情况造成经济损失的,则按重置价值先行从保证金中扣除赔偿款。乙方违约致本合同终止或解除，履约保证金不予退还。</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5、乙方租房期间（甲方交房至乙方还房期间）产生的水、电、气及物业管理等费由乙方承担，按规定时间结算。乙方逾期结算和支付，乙方同意甲方采取包括但不限于断水断电等措施在内的一切措施，由此造成任何损失由乙方自负，不得向甲方提出任何赔偿要求。</w:t>
      </w:r>
    </w:p>
    <w:p>
      <w:pPr>
        <w:shd w:val="clear" w:color="auto" w:fill="FFFFFF"/>
        <w:snapToGrid w:val="0"/>
        <w:spacing w:line="360" w:lineRule="exact"/>
        <w:ind w:firstLine="480" w:firstLineChars="200"/>
        <w:rPr>
          <w:rFonts w:hint="eastAsia" w:ascii="黑体" w:hAnsi="黑体" w:eastAsia="黑体" w:cs="宋体"/>
          <w:kern w:val="0"/>
          <w:sz w:val="24"/>
        </w:rPr>
      </w:pPr>
      <w:r>
        <w:rPr>
          <w:rFonts w:hint="eastAsia" w:ascii="黑体" w:hAnsi="黑体" w:eastAsia="黑体" w:cs="宋体"/>
          <w:kern w:val="0"/>
          <w:sz w:val="24"/>
        </w:rPr>
        <w:t>二、房屋使用条款</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1、甲方在乙方入驻前，电力设施、供排水设施以及其它附属按甲方现状提供，乙方确认后，签订本合同。</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2、乙方不得随意改变承租房屋及场地等附属设施的使用功能与用途；乙方在承租和使用过程中应自行检查，合理注意和使用，如有水、电损坏或管道堵塞，自行修复、疏通，费用自理。乙方如进行合理增容或改造，甲方予以配合和提供方便，所需费用及投入由乙方自行承担，合同期满或解除后，增容部分和所有形成附属的改造部分，乙方不得破坏其使用功能和价值，并无偿移交给甲方，若有违反，照价赔偿。合同期内，乙方有义务对甲方的资产进行合理的保管、检查、维修和保养，并承担相关费用，确保相关资产的正常使用。因乙方未履行相关检查、维护和保养义务，造成的相关损害由乙方承担。</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乙方进行内部装修，不得改变房屋结构。装修前必须事先拿好方案经甲方授权的代表签字同意后方可施工。施工行为必须符合各级政府及部门的相关管理规定，不得违法施工，不得影响附近居民正常生活，要确保施工人员生命健康安全，由此造成他人损害，后果由乙方承担。</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4、乙方不得在所租的房屋外围场地增建房屋及设施。自行增建附属设施所带来的一切后果由乙方自行承担法律责任，并由乙方负责恢复原样。</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5、乙方承租甲方房屋应在合法合规范围内，慎重选择经营项目及类型，且要充分考虑到生产经营风险及合同履行的严肃性，认真评估确定生产经营投资、工作设施投入、装修及其它附属物投入的回报和风险。承租期间，乙方投入的不动产及固定资产按下列原则处理：可移动的设备、设施、用品和生产生活用具，合约期满或依约定解除后，由乙方无条件搬离、带走，甲方不承担任何经济责任或补偿；乙方在合约期满或依约定解除后十五日内不予搬离的，视为乙方自愿放弃，无偿移交并归甲方所有。合同期内，乙方投入无法移动的不动产以及与甲方不动产形成附属的装潢物、附着物、添作物等，其所有权归甲方所有，乙方只有使用权，合同到期或依约定解除后不得破坏，应无偿移交给甲方。</w:t>
      </w:r>
    </w:p>
    <w:p>
      <w:pPr>
        <w:shd w:val="clear" w:color="auto" w:fill="FFFFFF"/>
        <w:snapToGrid w:val="0"/>
        <w:spacing w:line="360" w:lineRule="exact"/>
        <w:ind w:firstLine="480" w:firstLineChars="200"/>
        <w:rPr>
          <w:rFonts w:hint="eastAsia" w:ascii="黑体" w:hAnsi="黑体" w:eastAsia="黑体" w:cs="宋体"/>
          <w:kern w:val="0"/>
          <w:sz w:val="24"/>
        </w:rPr>
      </w:pPr>
      <w:r>
        <w:rPr>
          <w:rFonts w:hint="eastAsia" w:ascii="黑体" w:hAnsi="黑体" w:eastAsia="黑体" w:cs="宋体"/>
          <w:kern w:val="0"/>
          <w:sz w:val="24"/>
        </w:rPr>
        <w:t>三、约定遵守条款</w:t>
      </w:r>
    </w:p>
    <w:p>
      <w:pPr>
        <w:shd w:val="clear" w:color="auto" w:fill="FFFFFF"/>
        <w:snapToGrid w:val="0"/>
        <w:spacing w:line="360" w:lineRule="exact"/>
        <w:ind w:firstLine="484" w:firstLineChars="202"/>
        <w:rPr>
          <w:rFonts w:hint="eastAsia" w:ascii="宋体" w:hAnsi="宋体" w:eastAsia="宋体" w:cs="宋体"/>
          <w:kern w:val="0"/>
          <w:sz w:val="24"/>
        </w:rPr>
      </w:pPr>
      <w:r>
        <w:rPr>
          <w:rFonts w:hint="eastAsia" w:ascii="宋体" w:hAnsi="宋体" w:eastAsia="宋体" w:cs="宋体"/>
          <w:kern w:val="0"/>
          <w:sz w:val="24"/>
        </w:rPr>
        <w:t>1、乙方不得将承租房私自转租，转租即视为合同终止，甲方可按违约条款可随时收回房屋，且由此产生的一切损失，由乙方负责承担。</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2、乙方从事生产经营活动应证照齐全，合法经营；乙方不得利用甲方的承租房从事法律法规明令禁止的任何活动。否则，甲方有权按违约条款单方面终止合同，且有权向有关部门举报，乙方还必须承担所有的法律责任、经济责任。</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乙方应加强租住和经营生产的安全管理，自觉遵守法律和行政管理机关的管理规定，建立安全生产经营制度；乙方承租房屋期间，应采取防火、防盗、用电等安全措施，按规程操作，并进行经常性安全检查。由于管理不善、违规操作等责任原因，造成一切损失由乙方承担；造成甲方房屋财产等损失的，由乙方全额赔偿给甲方；造成第三方房屋财产损失，由乙方负责处理，并予以赔偿。乙方承租经营活动造成的自身、家人及第三方的人身及财产损失和其他安全事故，产生的经济与法律纠纷与甲方无涉。</w:t>
      </w:r>
    </w:p>
    <w:p>
      <w:pPr>
        <w:shd w:val="clear" w:color="auto" w:fill="FFFFFF"/>
        <w:snapToGrid w:val="0"/>
        <w:spacing w:line="360" w:lineRule="exact"/>
        <w:ind w:firstLine="484" w:firstLineChars="202"/>
        <w:rPr>
          <w:rFonts w:hint="eastAsia" w:ascii="宋体" w:hAnsi="宋体" w:eastAsia="宋体" w:cs="宋体"/>
          <w:kern w:val="0"/>
          <w:sz w:val="24"/>
        </w:rPr>
      </w:pPr>
      <w:r>
        <w:rPr>
          <w:rFonts w:hint="eastAsia" w:ascii="宋体" w:hAnsi="宋体" w:eastAsia="宋体" w:cs="宋体"/>
          <w:kern w:val="0"/>
          <w:sz w:val="24"/>
        </w:rPr>
        <w:t>4、乙方必须遵守国家法律、法规的有关规定，履行公共义务，积极配合街道、社区、小区物业等政府及相关部门做好文明卫生创建等工作，落实好门前“三包”的各项要求。乙方应妥善处理好邻里有关系，经营活动不得影响周边承租户及居民、单位和个人的正常生活。乙方生产经营活动应自觉接受环保、城管、安监、物管等方面的监督，所产生的噪音、废气、废水和其它废弃物的排放，均应符合国家法律、法规和地方相关要求；乙方生产经营活动所引发的民事责任及经济其赔偿均由乙方自行承担。乙方违反此条款相关内容，给甲方单位造成不利影响的，甲方有权执行违约条款，中止合同。</w:t>
      </w:r>
    </w:p>
    <w:p>
      <w:pPr>
        <w:shd w:val="clear" w:color="auto" w:fill="FFFFFF"/>
        <w:snapToGrid w:val="0"/>
        <w:spacing w:line="360" w:lineRule="exact"/>
        <w:ind w:firstLine="480" w:firstLineChars="200"/>
        <w:rPr>
          <w:rFonts w:hint="eastAsia" w:ascii="黑体" w:hAnsi="黑体" w:eastAsia="黑体" w:cs="宋体"/>
          <w:kern w:val="0"/>
          <w:sz w:val="24"/>
        </w:rPr>
      </w:pPr>
      <w:r>
        <w:rPr>
          <w:rFonts w:hint="eastAsia" w:ascii="黑体" w:hAnsi="黑体" w:eastAsia="黑体" w:cs="宋体"/>
          <w:kern w:val="0"/>
          <w:sz w:val="24"/>
        </w:rPr>
        <w:t>四、免责条款</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1、因政府有关法律法规及政策的修改或因甲方受上级政府部门的指令、自然灾害等特殊原因而导致甲方无法继续履行本合同条款时，甲方确认消息后十五日内通知乙方相关情况，乙方可因此而免除甲方的违约赔偿责任。乙方按规定及时交房，甲乙双方按乙方实际使用的时间和本合同约定的租金标准结算租金，并退还乙方缴纳的履约保证金。</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2、凡因发生严重自然灾害、战争或其他不能预见的、其发生和后果不能防止或避免的不可抗力致使任何一方不能履行本合同时，遇有不可抗力的一方，应立即通知对方，并应在三十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承租期内如遇棚户区改造、市政建设、城市规划调整、政府征收拆迁等特殊情况，甲方应政府及相关部门文件要求确需提前收回该房屋的，将提前通知乙方，乙方必须无条件搬迁，甲方按实际承租期收取租金（以乙方向甲方归还租赁物的日期为准），乙方仅享有投入改造的装饰装潢、附属设施的补偿，其余所有征收补偿权益归甲方所有。</w:t>
      </w:r>
    </w:p>
    <w:p>
      <w:pPr>
        <w:shd w:val="clear" w:color="auto" w:fill="FFFFFF"/>
        <w:snapToGrid w:val="0"/>
        <w:spacing w:line="360" w:lineRule="exact"/>
        <w:ind w:firstLine="480" w:firstLineChars="200"/>
        <w:rPr>
          <w:rFonts w:hint="eastAsia" w:ascii="黑体" w:hAnsi="黑体" w:eastAsia="黑体" w:cs="宋体"/>
          <w:kern w:val="0"/>
          <w:sz w:val="24"/>
        </w:rPr>
      </w:pPr>
      <w:r>
        <w:rPr>
          <w:rFonts w:hint="eastAsia" w:ascii="黑体" w:hAnsi="黑体" w:eastAsia="黑体" w:cs="宋体"/>
          <w:kern w:val="0"/>
          <w:sz w:val="24"/>
        </w:rPr>
        <w:t>五、违约条款</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1、乙方不按约定按时交纳房租、违规违约装修改建、私自转租、违反政府及部门规定、违反物业管理规定、违反安全生产规定、影响周边环境及人群正常生活等等方面违犯相关约定条款内容，甲方均有权单方面终止合同，并收回该房产，由此引发的法律的、经济的及其它一切损失由乙方承担。</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2、因乙方违约，甲方中止合同时，应向乙方进行书面通告，通告发出后15日内，交还该房产使用权，无条件离场，并不得向甲方索要包含装修费在内的一切费用。乙方拒绝赔偿给甲方违约经济损失或拖欠甲方房租的，甲方随时可以扣押处置乙方相关移动资产作为抵冲。乙方拒绝交房离场，甲方有权单方面采取停水、断电、封门等等多种形式强制措施，阻止乙方继续经营使用甲方房屋、场地。乙方在合同终止十五日内未搬离的各类物件，视同遗弃物，甲方有权不经乙方同意自行处置。</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3、甲方不履行合同约定，无故强行中止合同或相关行为影响乙方正常生产经营的，视同违约，应承担相应的经济赔偿。 </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4、在承租期内，如乙方主动提出中止本租赁合同履行，需经甲乙双方协商经签订中止合同协议，约定相关条款，以书面形式中止合同。一般甲方不再退还乙方已付租金和保证金，乙方也不得向甲方索要包含装修费在内的一切费用。</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5、本合同中涉及的其他违约内容及责任后果按约定执行。</w:t>
      </w:r>
    </w:p>
    <w:p>
      <w:pPr>
        <w:shd w:val="clear" w:color="auto" w:fill="FFFFFF"/>
        <w:snapToGrid w:val="0"/>
        <w:spacing w:line="360" w:lineRule="exact"/>
        <w:ind w:firstLine="480" w:firstLineChars="200"/>
        <w:rPr>
          <w:rFonts w:hint="eastAsia" w:ascii="Calibri" w:hAnsi="Calibri" w:eastAsia="宋体" w:cs="Times New Roman"/>
        </w:rPr>
      </w:pPr>
      <w:r>
        <w:rPr>
          <w:rFonts w:hint="eastAsia" w:ascii="黑体" w:hAnsi="黑体" w:eastAsia="黑体" w:cs="宋体"/>
          <w:kern w:val="0"/>
          <w:sz w:val="24"/>
        </w:rPr>
        <w:t>六、其它条款</w:t>
      </w:r>
    </w:p>
    <w:p>
      <w:pPr>
        <w:shd w:val="clear" w:color="auto" w:fill="FFFFFF"/>
        <w:snapToGrid w:val="0"/>
        <w:spacing w:line="360" w:lineRule="exact"/>
        <w:ind w:firstLine="480" w:firstLineChars="200"/>
        <w:rPr>
          <w:rFonts w:ascii="宋体" w:hAnsi="宋体" w:eastAsia="宋体" w:cs="宋体"/>
          <w:kern w:val="0"/>
          <w:sz w:val="24"/>
        </w:rPr>
      </w:pPr>
      <w:r>
        <w:rPr>
          <w:rFonts w:hint="eastAsia" w:ascii="宋体" w:hAnsi="宋体" w:eastAsia="宋体" w:cs="宋体"/>
          <w:kern w:val="0"/>
          <w:sz w:val="24"/>
        </w:rPr>
        <w:t>1、本合同未约定事宜，双方可协商达成一致意见的，签订书面协议作为合同附件。</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2、甲方单位工作人员关于承租房管理的一切行为，均以本合同及附件进行规范。甲方单位个人对乙方的任何口头约定和承诺均无效。</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3、合同执行引发的纠纷，无法协商解决的，可诉讼至人民法院裁决。</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4、合同及附件协议须经甲方盖章及乙方盖章（乙方承租者如为个人，需本人亲笔签字并附身份证复印件）后方生效。</w:t>
      </w:r>
    </w:p>
    <w:p>
      <w:pPr>
        <w:shd w:val="clear" w:color="auto" w:fill="FFFFFF"/>
        <w:snapToGrid w:val="0"/>
        <w:spacing w:line="3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5、本合同一式四份，甲方执三份，乙方执一份。</w:t>
      </w:r>
    </w:p>
    <w:p>
      <w:pPr>
        <w:widowControl/>
        <w:shd w:val="clear" w:color="auto" w:fill="FFFFFF"/>
        <w:snapToGrid w:val="0"/>
        <w:spacing w:line="360" w:lineRule="exact"/>
        <w:ind w:firstLine="480" w:firstLineChars="200"/>
        <w:rPr>
          <w:rFonts w:hint="eastAsia" w:ascii="宋体" w:hAnsi="宋体" w:eastAsia="宋体" w:cs="宋体"/>
          <w:kern w:val="0"/>
          <w:sz w:val="24"/>
        </w:rPr>
      </w:pPr>
    </w:p>
    <w:p>
      <w:pPr>
        <w:snapToGrid w:val="0"/>
        <w:spacing w:line="360" w:lineRule="exact"/>
        <w:ind w:firstLine="570"/>
        <w:rPr>
          <w:rFonts w:hint="eastAsia" w:ascii="Calibri" w:hAnsi="Calibri" w:eastAsia="宋体" w:cs="Times New Roman"/>
          <w:sz w:val="24"/>
        </w:rPr>
      </w:pPr>
    </w:p>
    <w:p>
      <w:pPr>
        <w:snapToGrid w:val="0"/>
        <w:spacing w:line="360" w:lineRule="exact"/>
        <w:ind w:firstLine="570"/>
        <w:rPr>
          <w:rFonts w:ascii="Calibri" w:hAnsi="Calibri" w:eastAsia="宋体" w:cs="Times New Roman"/>
          <w:sz w:val="24"/>
        </w:rPr>
      </w:pPr>
    </w:p>
    <w:p>
      <w:pPr>
        <w:snapToGrid w:val="0"/>
        <w:spacing w:line="360" w:lineRule="exact"/>
        <w:ind w:firstLine="570"/>
        <w:rPr>
          <w:rFonts w:ascii="Calibri" w:hAnsi="Calibri" w:eastAsia="宋体" w:cs="Times New Roman"/>
          <w:sz w:val="24"/>
        </w:rPr>
      </w:pPr>
      <w:r>
        <w:rPr>
          <w:rFonts w:hint="eastAsia" w:ascii="Calibri" w:hAnsi="Calibri" w:eastAsia="宋体" w:cs="Times New Roman"/>
          <w:sz w:val="24"/>
        </w:rPr>
        <w:t>甲方（签章）：</w:t>
      </w:r>
      <w:r>
        <w:rPr>
          <w:rFonts w:ascii="Calibri" w:hAnsi="Calibri" w:eastAsia="宋体" w:cs="Times New Roman"/>
          <w:sz w:val="24"/>
        </w:rPr>
        <w:t xml:space="preserve">                    </w:t>
      </w:r>
      <w:r>
        <w:rPr>
          <w:rFonts w:hint="eastAsia" w:ascii="Calibri" w:hAnsi="Calibri" w:eastAsia="宋体" w:cs="Times New Roman"/>
          <w:sz w:val="24"/>
        </w:rPr>
        <w:t>乙方（签名或盖章）：</w:t>
      </w:r>
    </w:p>
    <w:p>
      <w:pPr>
        <w:snapToGrid w:val="0"/>
        <w:spacing w:line="360" w:lineRule="exact"/>
        <w:ind w:firstLine="570"/>
        <w:rPr>
          <w:rFonts w:ascii="Calibri" w:hAnsi="Calibri" w:eastAsia="宋体" w:cs="Times New Roman"/>
          <w:sz w:val="24"/>
        </w:rPr>
      </w:pPr>
    </w:p>
    <w:p>
      <w:pPr>
        <w:snapToGrid w:val="0"/>
        <w:spacing w:line="360" w:lineRule="exact"/>
        <w:ind w:firstLine="570"/>
        <w:rPr>
          <w:rFonts w:ascii="Calibri" w:hAnsi="Calibri" w:eastAsia="宋体" w:cs="Times New Roman"/>
          <w:sz w:val="24"/>
        </w:rPr>
      </w:pPr>
    </w:p>
    <w:p>
      <w:pPr>
        <w:snapToGrid w:val="0"/>
        <w:spacing w:line="360" w:lineRule="exact"/>
        <w:ind w:firstLine="570"/>
        <w:jc w:val="right"/>
        <w:rPr>
          <w:rFonts w:ascii="Calibri" w:hAnsi="Calibri" w:eastAsia="宋体" w:cs="Times New Roman"/>
          <w:sz w:val="24"/>
        </w:rPr>
      </w:pPr>
    </w:p>
    <w:p>
      <w:pPr>
        <w:snapToGrid w:val="0"/>
        <w:spacing w:line="360" w:lineRule="exact"/>
        <w:ind w:firstLine="570"/>
        <w:jc w:val="right"/>
        <w:rPr>
          <w:rFonts w:ascii="Calibri" w:hAnsi="Calibri" w:eastAsia="宋体" w:cs="Times New Roman"/>
          <w:sz w:val="24"/>
        </w:rPr>
      </w:pPr>
    </w:p>
    <w:p>
      <w:pPr>
        <w:snapToGrid w:val="0"/>
        <w:spacing w:line="360" w:lineRule="exact"/>
        <w:ind w:firstLine="570"/>
        <w:jc w:val="right"/>
        <w:rPr>
          <w:rFonts w:ascii="Calibri" w:hAnsi="Calibri" w:eastAsia="宋体" w:cs="Times New Roman"/>
          <w:sz w:val="24"/>
        </w:rPr>
      </w:pPr>
    </w:p>
    <w:p>
      <w:pPr>
        <w:snapToGrid w:val="0"/>
        <w:spacing w:line="360" w:lineRule="exact"/>
        <w:ind w:firstLine="570"/>
        <w:jc w:val="right"/>
        <w:rPr>
          <w:rFonts w:ascii="Calibri" w:hAnsi="Calibri" w:eastAsia="宋体" w:cs="Times New Roman"/>
          <w:sz w:val="24"/>
        </w:rPr>
      </w:pPr>
    </w:p>
    <w:p>
      <w:pPr>
        <w:snapToGrid w:val="0"/>
        <w:spacing w:line="360" w:lineRule="exact"/>
        <w:ind w:right="560" w:firstLine="570"/>
        <w:jc w:val="center"/>
        <w:rPr>
          <w:rFonts w:ascii="Calibri" w:hAnsi="Calibri" w:eastAsia="宋体" w:cs="Times New Roman"/>
          <w:sz w:val="24"/>
        </w:rPr>
      </w:pPr>
      <w:r>
        <w:rPr>
          <w:rFonts w:ascii="Calibri" w:hAnsi="Calibri" w:eastAsia="宋体" w:cs="Times New Roman"/>
          <w:sz w:val="24"/>
        </w:rPr>
        <w:t xml:space="preserve">                  </w:t>
      </w:r>
      <w:r>
        <w:rPr>
          <w:rFonts w:hint="eastAsia" w:ascii="Calibri" w:hAnsi="Calibri" w:eastAsia="宋体" w:cs="Times New Roman"/>
          <w:sz w:val="24"/>
        </w:rPr>
        <w:t>签订合同日期：</w:t>
      </w:r>
      <w:r>
        <w:rPr>
          <w:rFonts w:ascii="Calibri" w:hAnsi="Calibri" w:eastAsia="宋体" w:cs="Times New Roman"/>
          <w:sz w:val="24"/>
        </w:rPr>
        <w:t xml:space="preserve">   </w:t>
      </w:r>
      <w:r>
        <w:rPr>
          <w:rFonts w:hint="eastAsia" w:ascii="Calibri" w:hAnsi="Calibri" w:eastAsia="宋体" w:cs="Times New Roman"/>
          <w:sz w:val="24"/>
        </w:rPr>
        <w:t>年</w:t>
      </w:r>
      <w:r>
        <w:rPr>
          <w:rFonts w:ascii="Calibri" w:hAnsi="Calibri" w:eastAsia="宋体" w:cs="Times New Roman"/>
          <w:sz w:val="24"/>
        </w:rPr>
        <w:t xml:space="preserve">     </w:t>
      </w:r>
      <w:r>
        <w:rPr>
          <w:rFonts w:hint="eastAsia" w:ascii="Calibri" w:hAnsi="Calibri" w:eastAsia="宋体" w:cs="Times New Roman"/>
          <w:sz w:val="24"/>
        </w:rPr>
        <w:t>月</w:t>
      </w:r>
      <w:r>
        <w:rPr>
          <w:rFonts w:ascii="Calibri" w:hAnsi="Calibri" w:eastAsia="宋体" w:cs="Times New Roman"/>
          <w:sz w:val="24"/>
        </w:rPr>
        <w:t xml:space="preserve">     </w:t>
      </w:r>
      <w:r>
        <w:rPr>
          <w:rFonts w:hint="eastAsia" w:ascii="Calibri" w:hAnsi="Calibri" w:eastAsia="宋体" w:cs="Times New Roman"/>
          <w:sz w:val="24"/>
        </w:rPr>
        <w:t>日</w:t>
      </w:r>
    </w:p>
    <w:p>
      <w:pPr>
        <w:snapToGrid w:val="0"/>
        <w:spacing w:line="400" w:lineRule="exact"/>
        <w:ind w:right="560"/>
        <w:rPr>
          <w:rFonts w:ascii="Calibri" w:hAnsi="Calibri" w:eastAsia="宋体" w:cs="Times New Roman"/>
          <w:sz w:val="24"/>
        </w:rPr>
      </w:pPr>
    </w:p>
    <w:p>
      <w:pPr>
        <w:snapToGrid w:val="0"/>
        <w:spacing w:line="400" w:lineRule="exact"/>
        <w:ind w:right="560"/>
        <w:rPr>
          <w:rFonts w:ascii="Calibri" w:hAnsi="Calibri" w:eastAsia="宋体" w:cs="Times New Roman"/>
          <w:sz w:val="24"/>
        </w:rPr>
      </w:pPr>
    </w:p>
    <w:p>
      <w:pPr>
        <w:snapToGrid w:val="0"/>
        <w:spacing w:line="400" w:lineRule="exact"/>
        <w:ind w:right="560"/>
        <w:rPr>
          <w:rFonts w:ascii="Calibri" w:hAnsi="Calibri" w:eastAsia="宋体" w:cs="Times New Roman"/>
          <w:sz w:val="24"/>
        </w:rPr>
      </w:pPr>
    </w:p>
    <w:p>
      <w:pPr>
        <w:snapToGrid w:val="0"/>
        <w:spacing w:line="400" w:lineRule="exact"/>
        <w:ind w:right="560"/>
        <w:rPr>
          <w:rFonts w:ascii="Calibri" w:hAnsi="Calibri" w:eastAsia="宋体" w:cs="Times New Roman"/>
          <w:sz w:val="24"/>
        </w:rPr>
      </w:pPr>
    </w:p>
    <w:p>
      <w:pPr>
        <w:snapToGrid w:val="0"/>
        <w:spacing w:line="400" w:lineRule="exact"/>
        <w:ind w:right="560"/>
        <w:rPr>
          <w:rFonts w:ascii="Calibri" w:hAnsi="Calibri" w:eastAsia="宋体" w:cs="Times New Roman"/>
          <w:sz w:val="24"/>
        </w:rPr>
      </w:pPr>
    </w:p>
    <w:p>
      <w:pPr>
        <w:snapToGrid w:val="0"/>
        <w:spacing w:line="400" w:lineRule="exact"/>
        <w:ind w:right="560"/>
        <w:rPr>
          <w:rFonts w:ascii="Calibri" w:hAnsi="Calibri" w:eastAsia="宋体" w:cs="Times New Roman"/>
          <w:sz w:val="24"/>
        </w:rPr>
      </w:pPr>
    </w:p>
    <w:p>
      <w:pPr>
        <w:snapToGrid w:val="0"/>
        <w:spacing w:line="400" w:lineRule="exact"/>
        <w:ind w:right="560"/>
        <w:rPr>
          <w:rFonts w:ascii="Calibri" w:hAnsi="Calibri" w:eastAsia="宋体" w:cs="Times New Roman"/>
          <w:sz w:val="24"/>
        </w:rPr>
      </w:pPr>
    </w:p>
    <w:p>
      <w:pPr>
        <w:snapToGrid w:val="0"/>
        <w:spacing w:line="400" w:lineRule="exact"/>
        <w:ind w:right="560"/>
        <w:rPr>
          <w:rFonts w:ascii="Calibri" w:hAnsi="Calibri" w:eastAsia="宋体" w:cs="Times New Roman"/>
          <w:sz w:val="24"/>
        </w:rPr>
      </w:pPr>
    </w:p>
    <w:p>
      <w:pPr>
        <w:snapToGrid w:val="0"/>
        <w:spacing w:line="400" w:lineRule="exact"/>
        <w:ind w:right="560"/>
        <w:rPr>
          <w:rFonts w:ascii="Calibri" w:hAnsi="Calibri" w:eastAsia="宋体" w:cs="Times New Roman"/>
          <w:sz w:val="24"/>
        </w:rPr>
      </w:pPr>
    </w:p>
    <w:p>
      <w:pPr>
        <w:snapToGrid w:val="0"/>
        <w:spacing w:line="400" w:lineRule="exact"/>
        <w:ind w:right="560"/>
        <w:rPr>
          <w:rFonts w:ascii="Calibri" w:hAnsi="Calibri" w:eastAsia="宋体" w:cs="Times New Roman"/>
          <w:sz w:val="24"/>
        </w:rPr>
      </w:pPr>
    </w:p>
    <w:p>
      <w:pPr>
        <w:snapToGrid w:val="0"/>
        <w:spacing w:line="400" w:lineRule="exact"/>
        <w:ind w:right="560"/>
        <w:rPr>
          <w:rFonts w:ascii="Calibri" w:hAnsi="Calibri" w:eastAsia="宋体" w:cs="Times New Roman"/>
          <w:sz w:val="24"/>
        </w:rPr>
      </w:pPr>
    </w:p>
    <w:p>
      <w:pPr>
        <w:snapToGrid w:val="0"/>
        <w:spacing w:line="400" w:lineRule="exact"/>
        <w:ind w:right="560"/>
        <w:rPr>
          <w:rFonts w:ascii="Calibri" w:hAnsi="Calibri" w:eastAsia="宋体" w:cs="Times New Roman"/>
          <w:sz w:val="24"/>
        </w:rPr>
      </w:pPr>
    </w:p>
    <w:p>
      <w:pPr>
        <w:snapToGrid w:val="0"/>
        <w:spacing w:line="400" w:lineRule="exact"/>
        <w:ind w:right="560"/>
        <w:rPr>
          <w:rFonts w:ascii="Calibri" w:hAnsi="Calibri" w:eastAsia="宋体" w:cs="Times New Roman"/>
          <w:sz w:val="24"/>
        </w:rPr>
      </w:pPr>
    </w:p>
    <w:p>
      <w:pPr>
        <w:snapToGrid w:val="0"/>
        <w:spacing w:line="400" w:lineRule="exact"/>
        <w:ind w:right="560"/>
        <w:rPr>
          <w:rFonts w:ascii="Calibri" w:hAnsi="Calibri" w:eastAsia="宋体" w:cs="Times New Roman"/>
          <w:sz w:val="24"/>
        </w:rPr>
      </w:pPr>
    </w:p>
    <w:p>
      <w:pPr>
        <w:snapToGrid w:val="0"/>
        <w:spacing w:line="400" w:lineRule="exact"/>
        <w:ind w:right="560"/>
        <w:rPr>
          <w:rFonts w:ascii="黑体" w:hAnsi="黑体" w:eastAsia="黑体" w:cs="Times New Roman"/>
          <w:sz w:val="24"/>
        </w:rPr>
      </w:pPr>
      <w:r>
        <w:rPr>
          <w:rFonts w:hint="eastAsia" w:ascii="黑体" w:hAnsi="黑体" w:eastAsia="黑体" w:cs="Times New Roman"/>
          <w:sz w:val="24"/>
        </w:rPr>
        <w:t>附：合同生效时甲方室内设施及物品清单</w:t>
      </w:r>
      <w:r>
        <w:rPr>
          <w:rFonts w:hint="eastAsia" w:ascii="仿宋" w:hAnsi="仿宋" w:eastAsia="仿宋" w:cs="Times New Roman"/>
          <w:sz w:val="24"/>
        </w:rPr>
        <w:t>（可另附页）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1456"/>
        <w:gridCol w:w="1402"/>
        <w:gridCol w:w="1402"/>
        <w:gridCol w:w="140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trPr>
        <w:tc>
          <w:tcPr>
            <w:tcW w:w="1513" w:type="dxa"/>
            <w:tcBorders>
              <w:top w:val="single" w:color="auto" w:sz="12" w:space="0"/>
              <w:left w:val="single" w:color="auto" w:sz="12" w:space="0"/>
              <w:bottom w:val="single" w:color="auto" w:sz="4" w:space="0"/>
              <w:right w:val="single" w:color="auto" w:sz="4" w:space="0"/>
            </w:tcBorders>
            <w:vAlign w:val="center"/>
          </w:tcPr>
          <w:p>
            <w:pPr>
              <w:snapToGrid w:val="0"/>
              <w:jc w:val="center"/>
              <w:rPr>
                <w:rFonts w:ascii="黑体" w:hAnsi="Calibri" w:eastAsia="黑体" w:cs="Times New Roman"/>
                <w:sz w:val="24"/>
              </w:rPr>
            </w:pPr>
            <w:r>
              <w:rPr>
                <w:rFonts w:hint="eastAsia" w:ascii="黑体" w:hAnsi="Calibri" w:eastAsia="黑体" w:cs="Times New Roman"/>
                <w:sz w:val="24"/>
              </w:rPr>
              <w:t>物品名称</w:t>
            </w:r>
          </w:p>
        </w:tc>
        <w:tc>
          <w:tcPr>
            <w:tcW w:w="1514" w:type="dxa"/>
            <w:tcBorders>
              <w:top w:val="single" w:color="auto" w:sz="12" w:space="0"/>
              <w:left w:val="single" w:color="auto" w:sz="4" w:space="0"/>
              <w:bottom w:val="single" w:color="auto" w:sz="4" w:space="0"/>
              <w:right w:val="double" w:color="auto" w:sz="4" w:space="0"/>
            </w:tcBorders>
            <w:vAlign w:val="center"/>
          </w:tcPr>
          <w:p>
            <w:pPr>
              <w:snapToGrid w:val="0"/>
              <w:jc w:val="center"/>
              <w:rPr>
                <w:rFonts w:ascii="黑体" w:hAnsi="Calibri" w:eastAsia="黑体" w:cs="Times New Roman"/>
                <w:sz w:val="24"/>
              </w:rPr>
            </w:pPr>
            <w:r>
              <w:rPr>
                <w:rFonts w:hint="eastAsia" w:ascii="黑体" w:hAnsi="Calibri" w:eastAsia="黑体" w:cs="Times New Roman"/>
                <w:sz w:val="24"/>
              </w:rPr>
              <w:t>数量或状况及总价</w:t>
            </w:r>
          </w:p>
        </w:tc>
        <w:tc>
          <w:tcPr>
            <w:tcW w:w="1457" w:type="dxa"/>
            <w:tcBorders>
              <w:top w:val="single" w:color="auto" w:sz="12" w:space="0"/>
              <w:left w:val="double" w:color="auto" w:sz="4" w:space="0"/>
              <w:bottom w:val="single" w:color="auto" w:sz="4" w:space="0"/>
              <w:right w:val="single" w:color="auto" w:sz="4" w:space="0"/>
            </w:tcBorders>
            <w:vAlign w:val="center"/>
          </w:tcPr>
          <w:p>
            <w:pPr>
              <w:snapToGrid w:val="0"/>
              <w:jc w:val="center"/>
              <w:rPr>
                <w:rFonts w:ascii="黑体" w:hAnsi="Calibri" w:eastAsia="黑体" w:cs="Times New Roman"/>
                <w:sz w:val="24"/>
              </w:rPr>
            </w:pPr>
            <w:r>
              <w:rPr>
                <w:rFonts w:hint="eastAsia" w:ascii="黑体" w:hAnsi="Calibri" w:eastAsia="黑体" w:cs="Times New Roman"/>
                <w:sz w:val="24"/>
              </w:rPr>
              <w:t>物品名称</w:t>
            </w:r>
          </w:p>
        </w:tc>
        <w:tc>
          <w:tcPr>
            <w:tcW w:w="1457" w:type="dxa"/>
            <w:tcBorders>
              <w:top w:val="single" w:color="auto" w:sz="12" w:space="0"/>
              <w:left w:val="single" w:color="auto" w:sz="4" w:space="0"/>
              <w:bottom w:val="single" w:color="auto" w:sz="4" w:space="0"/>
              <w:right w:val="double" w:color="auto" w:sz="4" w:space="0"/>
            </w:tcBorders>
            <w:vAlign w:val="center"/>
          </w:tcPr>
          <w:p>
            <w:pPr>
              <w:snapToGrid w:val="0"/>
              <w:jc w:val="center"/>
              <w:rPr>
                <w:rFonts w:ascii="黑体" w:hAnsi="Calibri" w:eastAsia="黑体" w:cs="Times New Roman"/>
                <w:sz w:val="24"/>
              </w:rPr>
            </w:pPr>
            <w:r>
              <w:rPr>
                <w:rFonts w:hint="eastAsia" w:ascii="黑体" w:hAnsi="Calibri" w:eastAsia="黑体" w:cs="Times New Roman"/>
                <w:sz w:val="24"/>
              </w:rPr>
              <w:t>数量或状况及总价</w:t>
            </w:r>
          </w:p>
        </w:tc>
        <w:tc>
          <w:tcPr>
            <w:tcW w:w="1457" w:type="dxa"/>
            <w:tcBorders>
              <w:top w:val="single" w:color="auto" w:sz="12" w:space="0"/>
              <w:left w:val="double" w:color="auto" w:sz="4" w:space="0"/>
              <w:bottom w:val="single" w:color="auto" w:sz="4" w:space="0"/>
              <w:right w:val="single" w:color="auto" w:sz="4" w:space="0"/>
            </w:tcBorders>
            <w:vAlign w:val="center"/>
          </w:tcPr>
          <w:p>
            <w:pPr>
              <w:snapToGrid w:val="0"/>
              <w:jc w:val="center"/>
              <w:rPr>
                <w:rFonts w:ascii="黑体" w:hAnsi="Calibri" w:eastAsia="黑体" w:cs="Times New Roman"/>
                <w:sz w:val="24"/>
              </w:rPr>
            </w:pPr>
            <w:r>
              <w:rPr>
                <w:rFonts w:hint="eastAsia" w:ascii="黑体" w:hAnsi="Calibri" w:eastAsia="黑体" w:cs="Times New Roman"/>
                <w:sz w:val="24"/>
              </w:rPr>
              <w:t>物品名称</w:t>
            </w:r>
          </w:p>
        </w:tc>
        <w:tc>
          <w:tcPr>
            <w:tcW w:w="1458" w:type="dxa"/>
            <w:tcBorders>
              <w:top w:val="single" w:color="auto" w:sz="12" w:space="0"/>
              <w:left w:val="single" w:color="auto" w:sz="4" w:space="0"/>
              <w:bottom w:val="single" w:color="auto" w:sz="4" w:space="0"/>
              <w:right w:val="single" w:color="auto" w:sz="12" w:space="0"/>
            </w:tcBorders>
            <w:vAlign w:val="center"/>
          </w:tcPr>
          <w:p>
            <w:pPr>
              <w:snapToGrid w:val="0"/>
              <w:jc w:val="center"/>
              <w:rPr>
                <w:rFonts w:ascii="黑体" w:hAnsi="Calibri" w:eastAsia="黑体" w:cs="Times New Roman"/>
                <w:sz w:val="24"/>
              </w:rPr>
            </w:pPr>
            <w:r>
              <w:rPr>
                <w:rFonts w:hint="eastAsia" w:ascii="黑体" w:hAnsi="Calibri" w:eastAsia="黑体" w:cs="Times New Roman"/>
                <w:sz w:val="24"/>
              </w:rPr>
              <w:t>数量或状况及总价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513"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514"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513"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514"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513"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514"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8" w:type="dxa"/>
            <w:tcBorders>
              <w:top w:val="single" w:color="auto" w:sz="4" w:space="0"/>
              <w:left w:val="single" w:color="auto" w:sz="4" w:space="0"/>
              <w:bottom w:val="single" w:color="auto" w:sz="4" w:space="0"/>
              <w:right w:val="single" w:color="auto" w:sz="12" w:space="0"/>
            </w:tcBorders>
            <w:vAlign w:val="center"/>
          </w:tcPr>
          <w:p>
            <w:pPr>
              <w:tabs>
                <w:tab w:val="left" w:pos="524"/>
              </w:tabs>
              <w:snapToGrid w:val="0"/>
              <w:jc w:val="center"/>
              <w:rPr>
                <w:rFonts w:ascii="仿宋_GB2312"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513"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514"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513"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514"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513"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514"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513"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514"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513"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514"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513"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514"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single" w:color="auto" w:sz="4" w:space="0"/>
              <w:bottom w:val="single" w:color="auto" w:sz="4"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仿宋_GB2312" w:hAnsi="Calibri" w:eastAsia="仿宋_GB2312" w:cs="Times New Roman"/>
                <w:szCs w:val="21"/>
              </w:rPr>
            </w:pPr>
          </w:p>
        </w:tc>
        <w:tc>
          <w:tcPr>
            <w:tcW w:w="145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仿宋_GB2312" w:hAnsi="Calibri"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513"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ascii="仿宋_GB2312" w:hAnsi="Calibri" w:eastAsia="仿宋_GB2312" w:cs="Times New Roman"/>
                <w:szCs w:val="21"/>
              </w:rPr>
            </w:pPr>
          </w:p>
        </w:tc>
        <w:tc>
          <w:tcPr>
            <w:tcW w:w="1514" w:type="dxa"/>
            <w:tcBorders>
              <w:top w:val="single" w:color="auto" w:sz="4" w:space="0"/>
              <w:left w:val="single" w:color="auto" w:sz="4" w:space="0"/>
              <w:bottom w:val="single" w:color="auto" w:sz="12"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12" w:space="0"/>
              <w:right w:val="sing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single" w:color="auto" w:sz="4" w:space="0"/>
              <w:bottom w:val="single" w:color="auto" w:sz="12" w:space="0"/>
              <w:right w:val="double" w:color="auto" w:sz="4" w:space="0"/>
            </w:tcBorders>
            <w:vAlign w:val="center"/>
          </w:tcPr>
          <w:p>
            <w:pPr>
              <w:snapToGrid w:val="0"/>
              <w:jc w:val="center"/>
              <w:rPr>
                <w:rFonts w:ascii="仿宋_GB2312" w:hAnsi="Calibri" w:eastAsia="仿宋_GB2312" w:cs="Times New Roman"/>
                <w:szCs w:val="21"/>
              </w:rPr>
            </w:pPr>
          </w:p>
        </w:tc>
        <w:tc>
          <w:tcPr>
            <w:tcW w:w="1457" w:type="dxa"/>
            <w:tcBorders>
              <w:top w:val="single" w:color="auto" w:sz="4" w:space="0"/>
              <w:left w:val="double" w:color="auto" w:sz="4" w:space="0"/>
              <w:bottom w:val="single" w:color="auto" w:sz="12" w:space="0"/>
              <w:right w:val="single" w:color="auto" w:sz="4" w:space="0"/>
            </w:tcBorders>
            <w:vAlign w:val="center"/>
          </w:tcPr>
          <w:p>
            <w:pPr>
              <w:snapToGrid w:val="0"/>
              <w:jc w:val="center"/>
              <w:rPr>
                <w:rFonts w:ascii="仿宋_GB2312" w:hAnsi="Calibri" w:eastAsia="仿宋_GB2312" w:cs="Times New Roman"/>
                <w:szCs w:val="21"/>
              </w:rPr>
            </w:pPr>
          </w:p>
        </w:tc>
        <w:tc>
          <w:tcPr>
            <w:tcW w:w="1458" w:type="dxa"/>
            <w:tcBorders>
              <w:top w:val="single" w:color="auto" w:sz="4" w:space="0"/>
              <w:left w:val="single" w:color="auto" w:sz="4" w:space="0"/>
              <w:bottom w:val="single" w:color="auto" w:sz="12" w:space="0"/>
              <w:right w:val="single" w:color="auto" w:sz="12" w:space="0"/>
            </w:tcBorders>
            <w:vAlign w:val="center"/>
          </w:tcPr>
          <w:p>
            <w:pPr>
              <w:snapToGrid w:val="0"/>
              <w:jc w:val="center"/>
              <w:rPr>
                <w:rFonts w:ascii="仿宋_GB2312" w:hAnsi="Calibri" w:eastAsia="仿宋_GB2312" w:cs="Times New Roman"/>
                <w:szCs w:val="21"/>
              </w:rPr>
            </w:pPr>
          </w:p>
        </w:tc>
      </w:tr>
    </w:tbl>
    <w:p>
      <w:pPr>
        <w:snapToGrid w:val="0"/>
        <w:spacing w:line="400" w:lineRule="exact"/>
        <w:ind w:right="560" w:firstLine="570"/>
        <w:rPr>
          <w:rFonts w:hint="eastAsia" w:ascii="Calibri" w:hAnsi="Calibri" w:eastAsia="宋体" w:cs="Times New Roman"/>
          <w:szCs w:val="21"/>
        </w:rPr>
      </w:pPr>
      <w:r>
        <w:rPr>
          <w:rFonts w:hint="eastAsia" w:ascii="Calibri" w:hAnsi="Calibri" w:eastAsia="宋体" w:cs="Times New Roman"/>
          <w:szCs w:val="21"/>
        </w:rPr>
        <w:t>甲方双方签字确认后，清单有效。</w:t>
      </w:r>
    </w:p>
    <w:p>
      <w:pPr>
        <w:snapToGrid w:val="0"/>
        <w:spacing w:line="400" w:lineRule="exact"/>
        <w:ind w:right="560" w:firstLine="570"/>
        <w:rPr>
          <w:rFonts w:ascii="Calibri" w:hAnsi="Calibri" w:eastAsia="宋体" w:cs="Times New Roman"/>
          <w:szCs w:val="21"/>
        </w:rPr>
      </w:pPr>
    </w:p>
    <w:p>
      <w:pPr>
        <w:snapToGrid w:val="0"/>
        <w:spacing w:line="400" w:lineRule="exact"/>
        <w:ind w:right="560" w:firstLine="570"/>
        <w:rPr>
          <w:rFonts w:ascii="Calibri" w:hAnsi="Calibri" w:eastAsia="宋体" w:cs="Times New Roman"/>
          <w:szCs w:val="21"/>
        </w:rPr>
      </w:pPr>
    </w:p>
    <w:p>
      <w:pPr>
        <w:snapToGrid w:val="0"/>
        <w:spacing w:before="156" w:beforeLines="50" w:line="400" w:lineRule="exact"/>
        <w:ind w:right="561" w:firstLine="573"/>
        <w:rPr>
          <w:rFonts w:ascii="黑体" w:hAnsi="黑体" w:eastAsia="黑体" w:cs="黑体"/>
          <w:bCs/>
          <w:kern w:val="0"/>
          <w:sz w:val="24"/>
          <w:szCs w:val="24"/>
        </w:rPr>
      </w:pPr>
      <w:r>
        <w:rPr>
          <w:rFonts w:hint="eastAsia" w:ascii="楷体_GB2312" w:hAnsi="Calibri" w:eastAsia="楷体_GB2312" w:cs="Times New Roman"/>
          <w:sz w:val="24"/>
        </w:rPr>
        <w:t>甲方代表签字：                   乙方代表签字：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95"/>
    <w:rsid w:val="00124695"/>
    <w:rsid w:val="00742B34"/>
    <w:rsid w:val="00E1646D"/>
    <w:rsid w:val="23E17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614</Words>
  <Characters>3500</Characters>
  <Lines>29</Lines>
  <Paragraphs>8</Paragraphs>
  <TotalTime>12</TotalTime>
  <ScaleCrop>false</ScaleCrop>
  <LinksUpToDate>false</LinksUpToDate>
  <CharactersWithSpaces>4106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2021-08-18T03:38:00Z</dcterms:created>
  <dc:creator>Lenovo</dc:creator>
  <cp:lastModifiedBy>汤康</cp:lastModifiedBy>
  <dcterms:modified xsi:type="dcterms:W3CDTF">2022-09-07T02:09:34Z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20E4EBEAAD004C5D8264960D4A0C2D7A</vt:lpwstr>
  </property>
</Properties>
</file>